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266" w:rsidRDefault="009A0266">
      <w:bookmarkStart w:id="0" w:name="_GoBack"/>
      <w:r>
        <w:t xml:space="preserve">Reply to the Professor: GAAP and </w:t>
      </w:r>
      <w:r>
        <w:t>IFRS</w:t>
      </w:r>
      <w:r>
        <w:t xml:space="preserve"> </w:t>
      </w:r>
    </w:p>
    <w:bookmarkEnd w:id="0"/>
    <w:p w:rsidR="009779B8" w:rsidRDefault="009A0266" w:rsidP="009A0266">
      <w:pPr>
        <w:ind w:firstLine="720"/>
      </w:pPr>
      <w:r>
        <w:t xml:space="preserve">Financial statements should be transparent because they are expected to be a true and fair view of the events happening within the company. Many people rely on them: suppliers, investors, government and creditors among them. These parties would love to have access to transparent information from the company such that they can make informed decisions, it also reduces the risks since lack of transparency risks the investment and credit facilities advanced to a company. </w:t>
      </w:r>
    </w:p>
    <w:sectPr w:rsidR="00977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266"/>
    <w:rsid w:val="009779B8"/>
    <w:rsid w:val="009A0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229F5-E8BE-4F09-BE85-A174F8B28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2018-02-03T15:09:00Z</dcterms:created>
  <dcterms:modified xsi:type="dcterms:W3CDTF">2018-02-03T15:14:00Z</dcterms:modified>
</cp:coreProperties>
</file>